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CEDF" w14:textId="77777777" w:rsidR="00B676E2" w:rsidRPr="00344F7D" w:rsidRDefault="00B676E2" w:rsidP="008D3DF0">
      <w:pPr>
        <w:jc w:val="center"/>
        <w:rPr>
          <w:rFonts w:ascii="Adobe Caslon Pro" w:hAnsi="Adobe Caslon Pro"/>
          <w:i/>
        </w:rPr>
      </w:pPr>
      <w:r w:rsidRPr="00344F7D">
        <w:rPr>
          <w:rFonts w:ascii="Adobe Caslon Pro" w:hAnsi="Adobe Caslon Pro"/>
          <w:i/>
        </w:rPr>
        <w:t>From the ACRL Standards for Distance Learning Library Services</w:t>
      </w:r>
    </w:p>
    <w:p w14:paraId="05714544" w14:textId="77777777" w:rsidR="00B676E2" w:rsidRPr="008D3DF0" w:rsidRDefault="00B676E2" w:rsidP="008D3DF0">
      <w:pPr>
        <w:shd w:val="clear" w:color="auto" w:fill="FFFFFF"/>
        <w:spacing w:before="100" w:beforeAutospacing="1" w:after="100" w:afterAutospacing="1"/>
        <w:jc w:val="center"/>
        <w:outlineLvl w:val="2"/>
        <w:rPr>
          <w:rFonts w:ascii="Adobe Caslon Pro" w:eastAsia="Times New Roman" w:hAnsi="Adobe Caslon Pro" w:cs="Times New Roman"/>
          <w:b/>
          <w:bCs/>
          <w:color w:val="303030"/>
          <w:sz w:val="32"/>
          <w:szCs w:val="27"/>
        </w:rPr>
      </w:pPr>
      <w:bookmarkStart w:id="0" w:name="philosophy"/>
      <w:bookmarkEnd w:id="0"/>
      <w:r w:rsidRPr="008D3DF0">
        <w:rPr>
          <w:rFonts w:ascii="Adobe Caslon Pro" w:eastAsia="Times New Roman" w:hAnsi="Adobe Caslon Pro" w:cs="Times New Roman"/>
          <w:b/>
          <w:bCs/>
          <w:i/>
          <w:color w:val="303030"/>
          <w:sz w:val="32"/>
          <w:szCs w:val="27"/>
        </w:rPr>
        <w:t>Selections from</w:t>
      </w:r>
      <w:r w:rsidRPr="008D3DF0">
        <w:rPr>
          <w:rFonts w:ascii="Adobe Caslon Pro" w:eastAsia="Times New Roman" w:hAnsi="Adobe Caslon Pro" w:cs="Times New Roman"/>
          <w:b/>
          <w:bCs/>
          <w:color w:val="303030"/>
          <w:sz w:val="32"/>
          <w:szCs w:val="27"/>
        </w:rPr>
        <w:t xml:space="preserve"> A Bill of Rights for the Distance Learning Community</w:t>
      </w:r>
    </w:p>
    <w:p w14:paraId="657AE5BE" w14:textId="77777777" w:rsidR="00344F7D" w:rsidRDefault="00344F7D" w:rsidP="00344F7D">
      <w:pPr>
        <w:shd w:val="clear" w:color="auto" w:fill="FFFFFF"/>
        <w:spacing w:before="100" w:beforeAutospacing="1" w:after="100" w:afterAutospacing="1"/>
        <w:rPr>
          <w:rFonts w:ascii="Adobe Caslon Pro" w:eastAsia="Times New Roman" w:hAnsi="Adobe Caslon Pro" w:cs="Times New Roman"/>
          <w:b/>
          <w:bCs/>
          <w:color w:val="303030"/>
          <w:sz w:val="20"/>
          <w:szCs w:val="20"/>
        </w:rPr>
      </w:pPr>
    </w:p>
    <w:p w14:paraId="36CC9206" w14:textId="77777777" w:rsidR="00344F7D" w:rsidRPr="00344F7D" w:rsidRDefault="00344F7D" w:rsidP="00344F7D">
      <w:pPr>
        <w:shd w:val="clear" w:color="auto" w:fill="FFFFFF"/>
        <w:spacing w:before="100" w:beforeAutospacing="1" w:after="100" w:afterAutospacing="1"/>
        <w:rPr>
          <w:rFonts w:ascii="Adobe Caslon Pro" w:eastAsia="Times New Roman" w:hAnsi="Adobe Caslon Pro" w:cs="Times New Roman"/>
          <w:b/>
          <w:bCs/>
          <w:color w:val="303030"/>
          <w:sz w:val="20"/>
          <w:szCs w:val="20"/>
        </w:rPr>
        <w:sectPr w:rsidR="00344F7D" w:rsidRPr="00344F7D" w:rsidSect="00B676E2">
          <w:pgSz w:w="12240" w:h="15840"/>
          <w:pgMar w:top="720" w:right="720" w:bottom="720" w:left="720" w:header="720" w:footer="720" w:gutter="0"/>
          <w:cols w:space="720"/>
          <w:docGrid w:linePitch="360"/>
        </w:sectPr>
      </w:pPr>
    </w:p>
    <w:p w14:paraId="610ACE83" w14:textId="77777777" w:rsidR="00B676E2" w:rsidRPr="00C15513" w:rsidRDefault="00B676E2" w:rsidP="00C15513">
      <w:pPr>
        <w:numPr>
          <w:ilvl w:val="0"/>
          <w:numId w:val="1"/>
        </w:numPr>
        <w:shd w:val="clear" w:color="auto" w:fill="FFFFFF"/>
        <w:spacing w:after="180"/>
        <w:rPr>
          <w:rFonts w:ascii="Adobe Caslon Pro" w:eastAsia="Times New Roman" w:hAnsi="Adobe Caslon Pro" w:cs="Times New Roman"/>
          <w:color w:val="303030"/>
          <w:sz w:val="22"/>
          <w:szCs w:val="20"/>
          <w:u w:val="single"/>
        </w:rPr>
      </w:pPr>
      <w:r w:rsidRPr="00C15513">
        <w:rPr>
          <w:rFonts w:ascii="Adobe Caslon Pro" w:eastAsia="Times New Roman" w:hAnsi="Adobe Caslon Pro" w:cs="Times New Roman"/>
          <w:b/>
          <w:bCs/>
          <w:color w:val="303030"/>
          <w:sz w:val="22"/>
          <w:szCs w:val="20"/>
        </w:rPr>
        <w:lastRenderedPageBreak/>
        <w:t>Access for Achievement of Superior Academic Skills:</w:t>
      </w:r>
      <w:r w:rsidRPr="00C15513">
        <w:rPr>
          <w:rFonts w:ascii="Adobe Caslon Pro" w:eastAsia="Times New Roman" w:hAnsi="Adobe Caslon Pro" w:cs="Times New Roman"/>
          <w:color w:val="303030"/>
          <w:sz w:val="22"/>
          <w:szCs w:val="20"/>
        </w:rPr>
        <w:t> Access to appropriate library services and resources is essential for the attainment of superior academic skills in post-secondary education, regardless of where students, faculty, staff, and programs are located. Members of the distance learning community, including those with disabilities, must therefore be provided effective and appropriate library services and resources, which may differ from, but must be equivalent to those provided for students and faculty in traditional campus settings.</w:t>
      </w:r>
    </w:p>
    <w:p w14:paraId="76A16BBA" w14:textId="77777777" w:rsidR="00B676E2" w:rsidRPr="00C15513" w:rsidRDefault="00B676E2" w:rsidP="00C15513">
      <w:pPr>
        <w:numPr>
          <w:ilvl w:val="0"/>
          <w:numId w:val="2"/>
        </w:numPr>
        <w:shd w:val="clear" w:color="auto" w:fill="FFFFFF"/>
        <w:spacing w:after="180"/>
        <w:rPr>
          <w:rFonts w:ascii="Adobe Caslon Pro" w:eastAsia="Times New Roman" w:hAnsi="Adobe Caslon Pro" w:cs="Times New Roman"/>
          <w:color w:val="303030"/>
          <w:sz w:val="22"/>
          <w:szCs w:val="20"/>
        </w:rPr>
      </w:pPr>
      <w:r w:rsidRPr="00C15513">
        <w:rPr>
          <w:rFonts w:ascii="Adobe Caslon Pro" w:eastAsia="Times New Roman" w:hAnsi="Adobe Caslon Pro" w:cs="Times New Roman"/>
          <w:b/>
          <w:bCs/>
          <w:color w:val="303030"/>
          <w:sz w:val="22"/>
          <w:szCs w:val="20"/>
        </w:rPr>
        <w:t>Direct Human Access:</w:t>
      </w:r>
      <w:r w:rsidRPr="00C15513">
        <w:rPr>
          <w:rFonts w:ascii="Adobe Caslon Pro" w:eastAsia="Times New Roman" w:hAnsi="Adobe Caslon Pro" w:cs="Times New Roman"/>
          <w:color w:val="303030"/>
          <w:sz w:val="22"/>
          <w:szCs w:val="20"/>
        </w:rPr>
        <w:t> Direct human access must be made available to the distance learning community through instruction, interaction, and intervention from library personnel in the provision of library services and in facilitating successful use of library resources, particularly electronic resources requiring computer literacy and information literacy skills.</w:t>
      </w:r>
    </w:p>
    <w:p w14:paraId="5EF468C0" w14:textId="2E4DBD26" w:rsidR="00C15513" w:rsidRPr="00C15513" w:rsidRDefault="00B676E2" w:rsidP="00C15513">
      <w:pPr>
        <w:numPr>
          <w:ilvl w:val="0"/>
          <w:numId w:val="3"/>
        </w:numPr>
        <w:shd w:val="clear" w:color="auto" w:fill="FFFFFF"/>
        <w:spacing w:after="180"/>
        <w:rPr>
          <w:rFonts w:ascii="Adobe Caslon Pro" w:eastAsia="Times New Roman" w:hAnsi="Adobe Caslon Pro" w:cs="Times New Roman"/>
          <w:color w:val="303030"/>
          <w:sz w:val="22"/>
          <w:szCs w:val="20"/>
        </w:rPr>
      </w:pPr>
      <w:r w:rsidRPr="00C15513">
        <w:rPr>
          <w:rFonts w:ascii="Adobe Caslon Pro" w:eastAsia="Times New Roman" w:hAnsi="Adobe Caslon Pro" w:cs="Times New Roman"/>
          <w:b/>
          <w:bCs/>
          <w:color w:val="303030"/>
          <w:sz w:val="22"/>
          <w:szCs w:val="20"/>
        </w:rPr>
        <w:t>Additional Investment:</w:t>
      </w:r>
      <w:r w:rsidRPr="00C15513">
        <w:rPr>
          <w:rFonts w:ascii="Adobe Caslon Pro" w:eastAsia="Times New Roman" w:hAnsi="Adobe Caslon Pro" w:cs="Times New Roman"/>
          <w:color w:val="303030"/>
          <w:sz w:val="22"/>
          <w:szCs w:val="20"/>
        </w:rPr>
        <w:t xml:space="preserve"> Traditional on-campus library services and personnel cannot simply be stretched in an attempt to meet the library needs of the distance learning community without any additional investment. Special funding arrangements, specialized staffing, proactive planning, and promotion are necessary to deliver equivalent library services and to achieve equivalent results in teaching and learning, and generally to maintain quality </w:t>
      </w:r>
      <w:r w:rsidR="00C15513">
        <w:rPr>
          <w:rFonts w:ascii="Adobe Caslon Pro" w:eastAsia="Times New Roman" w:hAnsi="Adobe Caslon Pro" w:cs="Times New Roman"/>
          <w:color w:val="303030"/>
          <w:sz w:val="22"/>
          <w:szCs w:val="20"/>
        </w:rPr>
        <w:t>in distance learning programs.</w:t>
      </w:r>
    </w:p>
    <w:p w14:paraId="4EA3049A" w14:textId="775E2B33" w:rsidR="00C15513" w:rsidRPr="00C15513" w:rsidRDefault="00C15513" w:rsidP="00C15513">
      <w:pPr>
        <w:numPr>
          <w:ilvl w:val="0"/>
          <w:numId w:val="3"/>
        </w:numPr>
        <w:shd w:val="clear" w:color="auto" w:fill="FFFFFF"/>
        <w:spacing w:after="180"/>
        <w:rPr>
          <w:rFonts w:ascii="Adobe Caslon Pro" w:eastAsia="Times New Roman" w:hAnsi="Adobe Caslon Pro" w:cs="Times New Roman"/>
          <w:color w:val="303030"/>
          <w:sz w:val="22"/>
          <w:szCs w:val="20"/>
        </w:rPr>
      </w:pPr>
      <w:r w:rsidRPr="00C15513">
        <w:rPr>
          <w:rFonts w:ascii="Adobe Caslon Pro" w:eastAsia="Times New Roman" w:hAnsi="Adobe Caslon Pro" w:cs="Times New Roman"/>
          <w:b/>
          <w:bCs/>
          <w:color w:val="303030"/>
          <w:sz w:val="22"/>
          <w:szCs w:val="20"/>
        </w:rPr>
        <w:t>Strategic Planning:</w:t>
      </w:r>
      <w:r w:rsidRPr="00C15513">
        <w:rPr>
          <w:rFonts w:ascii="Adobe Caslon Pro" w:eastAsia="Times New Roman" w:hAnsi="Adobe Caslon Pro" w:cs="Times New Roman"/>
          <w:color w:val="303030"/>
          <w:sz w:val="22"/>
          <w:szCs w:val="20"/>
        </w:rPr>
        <w:t xml:space="preserve"> The library must maintain a current strategic plan and vision for serving distance learners. Strategic planning is an iterative process that includes evaluation, updating, and refinement. </w:t>
      </w:r>
    </w:p>
    <w:p w14:paraId="2D38E1F1" w14:textId="67980D82" w:rsidR="00B676E2" w:rsidRPr="00C15513" w:rsidRDefault="00B676E2" w:rsidP="00C15513">
      <w:pPr>
        <w:numPr>
          <w:ilvl w:val="0"/>
          <w:numId w:val="4"/>
        </w:numPr>
        <w:shd w:val="clear" w:color="auto" w:fill="FFFFFF"/>
        <w:spacing w:after="180"/>
        <w:rPr>
          <w:rFonts w:ascii="Adobe Caslon Pro" w:eastAsia="Times New Roman" w:hAnsi="Adobe Caslon Pro" w:cs="Times New Roman"/>
          <w:color w:val="303030"/>
          <w:sz w:val="22"/>
          <w:szCs w:val="20"/>
        </w:rPr>
      </w:pPr>
      <w:r w:rsidRPr="00C15513">
        <w:rPr>
          <w:rFonts w:ascii="Adobe Caslon Pro" w:eastAsia="Times New Roman" w:hAnsi="Adobe Caslon Pro" w:cs="Times New Roman"/>
          <w:b/>
          <w:bCs/>
          <w:color w:val="303030"/>
          <w:sz w:val="22"/>
          <w:szCs w:val="20"/>
        </w:rPr>
        <w:lastRenderedPageBreak/>
        <w:t>Mandated Support:</w:t>
      </w:r>
      <w:r w:rsidRPr="00C15513">
        <w:rPr>
          <w:rFonts w:ascii="Adobe Caslon Pro" w:eastAsia="Times New Roman" w:hAnsi="Adobe Caslon Pro" w:cs="Times New Roman"/>
          <w:color w:val="303030"/>
          <w:sz w:val="22"/>
          <w:szCs w:val="20"/>
        </w:rPr>
        <w:t> The originating institution must, through its chief administrative officers and governance organizations and the active leadership of the library administration, provide for funding and appropriately meeting the information needs of its distance learning programs in support of their teaching, learning, and research.</w:t>
      </w:r>
    </w:p>
    <w:p w14:paraId="7A4099C9" w14:textId="77777777" w:rsidR="00B676E2" w:rsidRPr="00C15513" w:rsidRDefault="00B676E2" w:rsidP="00C15513">
      <w:pPr>
        <w:numPr>
          <w:ilvl w:val="0"/>
          <w:numId w:val="7"/>
        </w:numPr>
        <w:shd w:val="clear" w:color="auto" w:fill="FFFFFF"/>
        <w:spacing w:after="180"/>
        <w:rPr>
          <w:rFonts w:ascii="Adobe Caslon Pro" w:eastAsia="Times New Roman" w:hAnsi="Adobe Caslon Pro" w:cs="Times New Roman"/>
          <w:color w:val="303030"/>
          <w:sz w:val="22"/>
          <w:szCs w:val="20"/>
        </w:rPr>
      </w:pPr>
      <w:r w:rsidRPr="00C15513">
        <w:rPr>
          <w:rFonts w:ascii="Adobe Caslon Pro" w:eastAsia="Times New Roman" w:hAnsi="Adobe Caslon Pro" w:cs="Times New Roman"/>
          <w:b/>
          <w:bCs/>
          <w:color w:val="303030"/>
          <w:sz w:val="22"/>
          <w:szCs w:val="20"/>
        </w:rPr>
        <w:t>Institutional Involvement of Library and Other Personnel:</w:t>
      </w:r>
      <w:r w:rsidRPr="00C15513">
        <w:rPr>
          <w:rFonts w:ascii="Adobe Caslon Pro" w:eastAsia="Times New Roman" w:hAnsi="Adobe Caslon Pro" w:cs="Times New Roman"/>
          <w:color w:val="303030"/>
          <w:sz w:val="22"/>
          <w:szCs w:val="20"/>
        </w:rPr>
        <w:t> The originating institution must involve library and other personnel in all stages of the detailed analysis of planning, developing, evaluating, and adding or changing of the distance learning programs. </w:t>
      </w:r>
      <w:r w:rsidRPr="00C15513">
        <w:rPr>
          <w:rFonts w:ascii="Adobe Caslon Pro" w:eastAsia="Times New Roman" w:hAnsi="Adobe Caslon Pro" w:cs="Times New Roman"/>
          <w:b/>
          <w:bCs/>
          <w:color w:val="303030"/>
          <w:sz w:val="22"/>
          <w:szCs w:val="20"/>
        </w:rPr>
        <w:t> </w:t>
      </w:r>
    </w:p>
    <w:p w14:paraId="11FA8972" w14:textId="08C9D7DB" w:rsidR="00B676E2" w:rsidRPr="00C15513" w:rsidRDefault="00B676E2" w:rsidP="00C15513">
      <w:pPr>
        <w:numPr>
          <w:ilvl w:val="0"/>
          <w:numId w:val="11"/>
        </w:numPr>
        <w:shd w:val="clear" w:color="auto" w:fill="FFFFFF"/>
        <w:spacing w:after="180"/>
        <w:rPr>
          <w:rFonts w:ascii="Adobe Caslon Pro" w:eastAsia="Times New Roman" w:hAnsi="Adobe Caslon Pro" w:cs="Times New Roman"/>
          <w:color w:val="303030"/>
          <w:sz w:val="22"/>
          <w:szCs w:val="20"/>
        </w:rPr>
      </w:pPr>
      <w:r w:rsidRPr="00C15513">
        <w:rPr>
          <w:rFonts w:ascii="Adobe Caslon Pro" w:eastAsia="Times New Roman" w:hAnsi="Adobe Caslon Pro" w:cs="Times New Roman"/>
          <w:b/>
          <w:bCs/>
          <w:color w:val="303030"/>
          <w:sz w:val="22"/>
          <w:szCs w:val="20"/>
        </w:rPr>
        <w:t>Outcomes Assessment:</w:t>
      </w:r>
      <w:r w:rsidRPr="00C15513">
        <w:rPr>
          <w:rFonts w:ascii="Adobe Caslon Pro" w:eastAsia="Times New Roman" w:hAnsi="Adobe Caslon Pro" w:cs="Times New Roman"/>
          <w:color w:val="303030"/>
          <w:sz w:val="22"/>
          <w:szCs w:val="20"/>
        </w:rPr>
        <w:t> The library must make outcomes assessment a major component of distance learning library services. Outcomes assessment addresses the accountability of institutions to determine whether distance students are learning effective</w:t>
      </w:r>
      <w:r w:rsidR="00C15513">
        <w:rPr>
          <w:rFonts w:ascii="Adobe Caslon Pro" w:eastAsia="Times New Roman" w:hAnsi="Adobe Caslon Pro" w:cs="Times New Roman"/>
          <w:color w:val="303030"/>
          <w:sz w:val="22"/>
          <w:szCs w:val="20"/>
        </w:rPr>
        <w:t xml:space="preserve">ly and whether library services </w:t>
      </w:r>
      <w:r w:rsidRPr="00C15513">
        <w:rPr>
          <w:rFonts w:ascii="Adobe Caslon Pro" w:eastAsia="Times New Roman" w:hAnsi="Adobe Caslon Pro" w:cs="Times New Roman"/>
          <w:color w:val="303030"/>
          <w:sz w:val="22"/>
          <w:szCs w:val="20"/>
        </w:rPr>
        <w:t xml:space="preserve">are effectively meeting their needs. </w:t>
      </w:r>
    </w:p>
    <w:p w14:paraId="5377923C" w14:textId="77777777" w:rsidR="00B676E2" w:rsidRPr="00C15513" w:rsidRDefault="00B676E2" w:rsidP="00C15513">
      <w:pPr>
        <w:numPr>
          <w:ilvl w:val="0"/>
          <w:numId w:val="12"/>
        </w:numPr>
        <w:shd w:val="clear" w:color="auto" w:fill="FFFFFF"/>
        <w:spacing w:after="180"/>
        <w:rPr>
          <w:rFonts w:ascii="Adobe Caslon Pro" w:eastAsia="Times New Roman" w:hAnsi="Adobe Caslon Pro" w:cs="Times New Roman"/>
          <w:color w:val="303030"/>
          <w:sz w:val="22"/>
          <w:szCs w:val="20"/>
        </w:rPr>
      </w:pPr>
      <w:r w:rsidRPr="00C15513">
        <w:rPr>
          <w:rFonts w:ascii="Adobe Caslon Pro" w:eastAsia="Times New Roman" w:hAnsi="Adobe Caslon Pro" w:cs="Times New Roman"/>
          <w:b/>
          <w:bCs/>
          <w:color w:val="303030"/>
          <w:sz w:val="22"/>
          <w:szCs w:val="20"/>
        </w:rPr>
        <w:t>Information Literacy:</w:t>
      </w:r>
      <w:r w:rsidRPr="00C15513">
        <w:rPr>
          <w:rFonts w:ascii="Adobe Caslon Pro" w:eastAsia="Times New Roman" w:hAnsi="Adobe Caslon Pro" w:cs="Times New Roman"/>
          <w:color w:val="303030"/>
          <w:sz w:val="22"/>
          <w:szCs w:val="20"/>
        </w:rPr>
        <w:t> The library must provide information literacy instruction programs to the distance learning community in accordance with the ACRL </w:t>
      </w:r>
      <w:r w:rsidRPr="00C15513">
        <w:rPr>
          <w:rFonts w:ascii="Adobe Caslon Pro" w:eastAsia="Times New Roman" w:hAnsi="Adobe Caslon Pro" w:cs="Times New Roman"/>
          <w:bCs/>
          <w:iCs/>
          <w:color w:val="303030"/>
          <w:sz w:val="22"/>
          <w:szCs w:val="20"/>
        </w:rPr>
        <w:t>Information Literacy Competency Standards for Higher Education</w:t>
      </w:r>
      <w:r w:rsidRPr="00C15513">
        <w:rPr>
          <w:rFonts w:ascii="Adobe Caslon Pro" w:eastAsia="Times New Roman" w:hAnsi="Adobe Caslon Pro" w:cs="Times New Roman"/>
          <w:color w:val="303030"/>
          <w:sz w:val="22"/>
          <w:szCs w:val="20"/>
        </w:rPr>
        <w:t>. The attainment of lifelong learning skills through general bibliographic and information literacy instruction in academic libraries is a primary outcome of higher education, and as such, must be provided to all distance learning students.</w:t>
      </w:r>
    </w:p>
    <w:p w14:paraId="2D31EE00" w14:textId="77777777" w:rsidR="00344F7D" w:rsidRPr="00C15513" w:rsidRDefault="00344F7D" w:rsidP="00D60E42">
      <w:pPr>
        <w:shd w:val="clear" w:color="auto" w:fill="FFFFFF"/>
        <w:spacing w:before="100" w:beforeAutospacing="1" w:after="100" w:afterAutospacing="1"/>
        <w:rPr>
          <w:rFonts w:ascii="Adobe Caslon Pro" w:eastAsia="Times New Roman" w:hAnsi="Adobe Caslon Pro" w:cs="Times New Roman"/>
          <w:color w:val="303030"/>
          <w:sz w:val="22"/>
          <w:szCs w:val="20"/>
        </w:rPr>
      </w:pPr>
    </w:p>
    <w:p w14:paraId="6F84468C" w14:textId="77777777" w:rsidR="00344F7D" w:rsidRPr="00C15513" w:rsidRDefault="00344F7D" w:rsidP="00D60E42">
      <w:pPr>
        <w:shd w:val="clear" w:color="auto" w:fill="FFFFFF"/>
        <w:spacing w:before="100" w:beforeAutospacing="1" w:after="100" w:afterAutospacing="1"/>
        <w:rPr>
          <w:rFonts w:ascii="Adobe Caslon Pro" w:eastAsia="Times New Roman" w:hAnsi="Adobe Caslon Pro" w:cs="Times New Roman"/>
          <w:color w:val="303030"/>
          <w:sz w:val="22"/>
          <w:szCs w:val="20"/>
        </w:rPr>
        <w:sectPr w:rsidR="00344F7D" w:rsidRPr="00C15513" w:rsidSect="00344F7D">
          <w:type w:val="continuous"/>
          <w:pgSz w:w="12240" w:h="15840"/>
          <w:pgMar w:top="720" w:right="720" w:bottom="720" w:left="720" w:header="720" w:footer="720" w:gutter="0"/>
          <w:cols w:num="2" w:space="720"/>
          <w:docGrid w:linePitch="360"/>
        </w:sectPr>
      </w:pPr>
    </w:p>
    <w:p w14:paraId="40934CD0" w14:textId="77777777" w:rsidR="00694D92" w:rsidRPr="00C15513" w:rsidRDefault="00694D92" w:rsidP="00D60E42">
      <w:pPr>
        <w:shd w:val="clear" w:color="auto" w:fill="FFFFFF"/>
        <w:spacing w:before="100" w:beforeAutospacing="1" w:after="100" w:afterAutospacing="1"/>
        <w:rPr>
          <w:rFonts w:ascii="Adobe Caslon Pro" w:eastAsia="Times New Roman" w:hAnsi="Adobe Caslon Pro" w:cs="Times New Roman"/>
          <w:color w:val="303030"/>
          <w:sz w:val="22"/>
          <w:szCs w:val="20"/>
        </w:rPr>
      </w:pPr>
    </w:p>
    <w:p w14:paraId="6DF6AD63" w14:textId="77777777" w:rsidR="00D60E42" w:rsidRPr="00C15513" w:rsidRDefault="00344F7D" w:rsidP="00344F7D">
      <w:pPr>
        <w:shd w:val="clear" w:color="auto" w:fill="FFFFFF"/>
        <w:spacing w:before="100" w:beforeAutospacing="1" w:after="100" w:afterAutospacing="1"/>
        <w:jc w:val="center"/>
        <w:rPr>
          <w:rFonts w:ascii="Adobe Caslon Pro" w:eastAsia="Times New Roman" w:hAnsi="Adobe Caslon Pro" w:cs="Times New Roman"/>
          <w:color w:val="303030"/>
          <w:sz w:val="22"/>
          <w:szCs w:val="20"/>
        </w:rPr>
      </w:pPr>
      <w:r w:rsidRPr="00C15513">
        <w:rPr>
          <w:rFonts w:ascii="Hoefler Text Ornaments" w:eastAsia="Times New Roman" w:hAnsi="Hoefler Text Ornaments" w:cs="Hoefler Text Ornaments"/>
          <w:color w:val="303030"/>
          <w:sz w:val="22"/>
          <w:szCs w:val="20"/>
        </w:rPr>
        <w:t>☞</w:t>
      </w:r>
      <w:r w:rsidRPr="00C15513">
        <w:rPr>
          <w:rFonts w:ascii="Adobe Caslon Pro" w:eastAsia="Times New Roman" w:hAnsi="Adobe Caslon Pro" w:cs="Times New Roman"/>
          <w:color w:val="303030"/>
          <w:sz w:val="22"/>
          <w:szCs w:val="20"/>
        </w:rPr>
        <w:t xml:space="preserve"> S</w:t>
      </w:r>
      <w:r w:rsidR="00D60E42" w:rsidRPr="00C15513">
        <w:rPr>
          <w:rFonts w:ascii="Adobe Caslon Pro" w:eastAsia="Times New Roman" w:hAnsi="Adobe Caslon Pro" w:cs="Times New Roman"/>
          <w:color w:val="303030"/>
          <w:sz w:val="22"/>
          <w:szCs w:val="20"/>
        </w:rPr>
        <w:t xml:space="preserve">ee the full Standards document (and the full Bill of Rights) at </w:t>
      </w:r>
      <w:r w:rsidR="00D60E42" w:rsidRPr="00C15513">
        <w:rPr>
          <w:rFonts w:ascii="Adobe Caslon Pro" w:eastAsia="Times New Roman" w:hAnsi="Adobe Caslon Pro" w:cs="Times New Roman"/>
          <w:color w:val="303030"/>
          <w:sz w:val="22"/>
          <w:szCs w:val="20"/>
          <w:u w:val="single"/>
        </w:rPr>
        <w:t>ala.org/acrl/standards/guidelinesdistancelearning</w:t>
      </w:r>
    </w:p>
    <w:p w14:paraId="2B66A966" w14:textId="77777777" w:rsidR="00B676E2" w:rsidRPr="00344F7D" w:rsidRDefault="00B676E2">
      <w:pPr>
        <w:rPr>
          <w:rFonts w:ascii="Adobe Caslon Pro" w:hAnsi="Adobe Caslon Pro"/>
        </w:rPr>
      </w:pPr>
      <w:r w:rsidRPr="00344F7D">
        <w:rPr>
          <w:rFonts w:ascii="Adobe Caslon Pro" w:hAnsi="Adobe Caslon Pro"/>
        </w:rPr>
        <w:br w:type="page"/>
      </w:r>
    </w:p>
    <w:p w14:paraId="1C7D8067" w14:textId="77777777" w:rsidR="00B676E2" w:rsidRPr="00344F7D" w:rsidRDefault="00694D92" w:rsidP="00044114">
      <w:pPr>
        <w:jc w:val="center"/>
        <w:rPr>
          <w:rFonts w:ascii="Adobe Caslon Pro" w:hAnsi="Adobe Caslon Pro"/>
          <w:sz w:val="36"/>
        </w:rPr>
      </w:pPr>
      <w:r w:rsidRPr="00344F7D">
        <w:rPr>
          <w:rFonts w:ascii="Adobe Caslon Pro" w:hAnsi="Adobe Caslon Pro"/>
          <w:sz w:val="36"/>
        </w:rPr>
        <w:lastRenderedPageBreak/>
        <w:t>Integrating information literacy in distance learning contexts</w:t>
      </w:r>
    </w:p>
    <w:p w14:paraId="15B3BACC" w14:textId="77777777" w:rsidR="00694D92" w:rsidRDefault="00694D92">
      <w:pPr>
        <w:rPr>
          <w:rFonts w:ascii="Adobe Caslon Pro" w:hAnsi="Adobe Caslon Pro"/>
        </w:rPr>
      </w:pPr>
    </w:p>
    <w:p w14:paraId="2B11F39C" w14:textId="77777777" w:rsidR="00952706" w:rsidRPr="00344F7D" w:rsidRDefault="00952706">
      <w:pPr>
        <w:rPr>
          <w:rFonts w:ascii="Adobe Caslon Pro" w:hAnsi="Adobe Caslon Pro"/>
        </w:rPr>
      </w:pPr>
    </w:p>
    <w:p w14:paraId="6ABB76CB" w14:textId="77777777" w:rsidR="00694D92" w:rsidRPr="00044114" w:rsidRDefault="00044114">
      <w:pPr>
        <w:rPr>
          <w:rFonts w:ascii="Adobe Caslon Pro" w:hAnsi="Adobe Caslon Pro"/>
          <w:i/>
          <w:sz w:val="32"/>
        </w:rPr>
      </w:pPr>
      <w:r w:rsidRPr="00044114">
        <w:rPr>
          <w:rFonts w:ascii="Adobe Caslon Pro" w:hAnsi="Adobe Caslon Pro"/>
          <w:i/>
          <w:sz w:val="32"/>
        </w:rPr>
        <w:t>Discussion</w:t>
      </w:r>
    </w:p>
    <w:p w14:paraId="34C942C2" w14:textId="77777777" w:rsidR="00694D92" w:rsidRPr="00044114" w:rsidRDefault="00694D92">
      <w:pPr>
        <w:rPr>
          <w:rFonts w:ascii="Adobe Caslon Pro" w:hAnsi="Adobe Caslon Pro"/>
        </w:rPr>
      </w:pPr>
    </w:p>
    <w:p w14:paraId="2812CD5E" w14:textId="042FC9C8" w:rsidR="00044114" w:rsidRDefault="00044114" w:rsidP="00044114">
      <w:pPr>
        <w:widowControl w:val="0"/>
        <w:autoSpaceDE w:val="0"/>
        <w:autoSpaceDN w:val="0"/>
        <w:adjustRightInd w:val="0"/>
        <w:rPr>
          <w:rFonts w:ascii="Adobe Caslon Pro" w:hAnsi="Adobe Caslon Pro" w:cs="Helvetica"/>
        </w:rPr>
      </w:pPr>
      <w:r w:rsidRPr="00044114">
        <w:rPr>
          <w:rFonts w:ascii="Adobe Caslon Pro" w:hAnsi="Adobe Caslon Pro" w:cs="Helvetica"/>
        </w:rPr>
        <w:t>Consider these que</w:t>
      </w:r>
      <w:r w:rsidR="00BF68A0">
        <w:rPr>
          <w:rFonts w:ascii="Adobe Caslon Pro" w:hAnsi="Adobe Caslon Pro" w:cs="Helvetica"/>
        </w:rPr>
        <w:t>stions in our discussion today</w:t>
      </w:r>
      <w:r w:rsidR="008F7DA9">
        <w:rPr>
          <w:rFonts w:ascii="Adobe Caslon Pro" w:hAnsi="Adobe Caslon Pro" w:cs="Helvetica"/>
        </w:rPr>
        <w:t>:</w:t>
      </w:r>
    </w:p>
    <w:p w14:paraId="745D4E29" w14:textId="77777777" w:rsidR="00044114" w:rsidRPr="00044114" w:rsidRDefault="00044114" w:rsidP="00044114">
      <w:pPr>
        <w:widowControl w:val="0"/>
        <w:autoSpaceDE w:val="0"/>
        <w:autoSpaceDN w:val="0"/>
        <w:adjustRightInd w:val="0"/>
        <w:rPr>
          <w:rFonts w:ascii="Adobe Caslon Pro" w:hAnsi="Adobe Caslon Pro" w:cs="Helvetica"/>
        </w:rPr>
      </w:pPr>
    </w:p>
    <w:p w14:paraId="3A8C71E2" w14:textId="77777777" w:rsidR="00044114" w:rsidRPr="00044114" w:rsidRDefault="00044114" w:rsidP="00044114">
      <w:pPr>
        <w:widowControl w:val="0"/>
        <w:numPr>
          <w:ilvl w:val="0"/>
          <w:numId w:val="13"/>
        </w:numPr>
        <w:tabs>
          <w:tab w:val="left" w:pos="220"/>
          <w:tab w:val="left" w:pos="720"/>
        </w:tabs>
        <w:autoSpaceDE w:val="0"/>
        <w:autoSpaceDN w:val="0"/>
        <w:adjustRightInd w:val="0"/>
        <w:ind w:hanging="720"/>
        <w:rPr>
          <w:rFonts w:ascii="Adobe Caslon Pro" w:hAnsi="Adobe Caslon Pro" w:cs="Helvetica"/>
        </w:rPr>
      </w:pPr>
      <w:r w:rsidRPr="00044114">
        <w:rPr>
          <w:rFonts w:ascii="Adobe Caslon Pro" w:hAnsi="Adobe Caslon Pro" w:cs="Helvetica"/>
        </w:rPr>
        <w:t>Distance learning</w:t>
      </w:r>
    </w:p>
    <w:p w14:paraId="38F9AFA9" w14:textId="77777777" w:rsidR="00044114" w:rsidRPr="00044114" w:rsidRDefault="00044114"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What is different about a distance student vs. an on-campus student? </w:t>
      </w:r>
    </w:p>
    <w:p w14:paraId="5DD4C7F3" w14:textId="77777777" w:rsidR="00044114" w:rsidRDefault="00044114"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How do you make the library visible to distance students? </w:t>
      </w:r>
    </w:p>
    <w:p w14:paraId="4707A226" w14:textId="77777777" w:rsidR="00862533" w:rsidRPr="00044114" w:rsidRDefault="00862533"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Pr>
          <w:rFonts w:ascii="Adobe Caslon Pro" w:hAnsi="Adobe Caslon Pro" w:cs="Helvetica"/>
        </w:rPr>
        <w:t xml:space="preserve">How can distance services be informed by usability &amp; accessibility practices? </w:t>
      </w:r>
    </w:p>
    <w:p w14:paraId="0AE462BA" w14:textId="77777777" w:rsidR="00044114" w:rsidRPr="00044114" w:rsidRDefault="00044114" w:rsidP="00044114">
      <w:pPr>
        <w:widowControl w:val="0"/>
        <w:numPr>
          <w:ilvl w:val="0"/>
          <w:numId w:val="13"/>
        </w:numPr>
        <w:tabs>
          <w:tab w:val="left" w:pos="220"/>
          <w:tab w:val="left" w:pos="720"/>
        </w:tabs>
        <w:autoSpaceDE w:val="0"/>
        <w:autoSpaceDN w:val="0"/>
        <w:adjustRightInd w:val="0"/>
        <w:ind w:hanging="720"/>
        <w:rPr>
          <w:rFonts w:ascii="Adobe Caslon Pro" w:hAnsi="Adobe Caslon Pro" w:cs="Helvetica"/>
        </w:rPr>
      </w:pPr>
      <w:r w:rsidRPr="00044114">
        <w:rPr>
          <w:rFonts w:ascii="Adobe Caslon Pro" w:hAnsi="Adobe Caslon Pro" w:cs="Helvetica"/>
        </w:rPr>
        <w:t>Reference</w:t>
      </w:r>
    </w:p>
    <w:p w14:paraId="76AC21A7" w14:textId="77777777" w:rsidR="00044114" w:rsidRPr="00044114" w:rsidRDefault="00044114"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How can you provide equivalent reference service to distance students? </w:t>
      </w:r>
    </w:p>
    <w:p w14:paraId="44940AB0" w14:textId="77777777" w:rsidR="00044114" w:rsidRPr="00044114" w:rsidRDefault="00044114"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What about students who might be in very different time zones?</w:t>
      </w:r>
    </w:p>
    <w:p w14:paraId="7E6AE810" w14:textId="2CEB38D4" w:rsidR="00044114" w:rsidRDefault="00C15513"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Pr>
          <w:rFonts w:ascii="Adobe Caslon Pro" w:hAnsi="Adobe Caslon Pro" w:cs="Helvetica"/>
        </w:rPr>
        <w:t>How w</w:t>
      </w:r>
      <w:r w:rsidR="00044114" w:rsidRPr="00044114">
        <w:rPr>
          <w:rFonts w:ascii="Adobe Caslon Pro" w:hAnsi="Adobe Caslon Pro" w:cs="Helvetica"/>
        </w:rPr>
        <w:t>ould you market reference services?  </w:t>
      </w:r>
    </w:p>
    <w:p w14:paraId="66559DC1" w14:textId="77777777" w:rsidR="00952706" w:rsidRPr="00044114" w:rsidRDefault="00952706"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Pr>
          <w:rFonts w:ascii="Adobe Caslon Pro" w:hAnsi="Adobe Caslon Pro" w:cs="Helvetica"/>
        </w:rPr>
        <w:t>What new materials might you have to create?</w:t>
      </w:r>
    </w:p>
    <w:p w14:paraId="7D91DD56" w14:textId="77777777" w:rsidR="00044114" w:rsidRPr="00044114" w:rsidRDefault="00044114" w:rsidP="00044114">
      <w:pPr>
        <w:widowControl w:val="0"/>
        <w:numPr>
          <w:ilvl w:val="0"/>
          <w:numId w:val="13"/>
        </w:numPr>
        <w:tabs>
          <w:tab w:val="left" w:pos="220"/>
          <w:tab w:val="left" w:pos="720"/>
        </w:tabs>
        <w:autoSpaceDE w:val="0"/>
        <w:autoSpaceDN w:val="0"/>
        <w:adjustRightInd w:val="0"/>
        <w:ind w:hanging="720"/>
        <w:rPr>
          <w:rFonts w:ascii="Adobe Caslon Pro" w:hAnsi="Adobe Caslon Pro" w:cs="Helvetica"/>
        </w:rPr>
      </w:pPr>
      <w:r w:rsidRPr="00044114">
        <w:rPr>
          <w:rFonts w:ascii="Adobe Caslon Pro" w:hAnsi="Adobe Caslon Pro" w:cs="Helvetica"/>
        </w:rPr>
        <w:t>Instruction</w:t>
      </w:r>
    </w:p>
    <w:p w14:paraId="5FE51F7B" w14:textId="77777777" w:rsidR="00044114" w:rsidRPr="00044114" w:rsidRDefault="00044114"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Can you provide instruction support at the point of need?</w:t>
      </w:r>
    </w:p>
    <w:p w14:paraId="73F5999B" w14:textId="77777777" w:rsidR="00044114" w:rsidRPr="00044114" w:rsidRDefault="00044114"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Could you feasibly embed yourself in an online course? </w:t>
      </w:r>
    </w:p>
    <w:p w14:paraId="5C50CAAE" w14:textId="77777777" w:rsidR="00044114" w:rsidRDefault="00044114"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How can you partner with faculty to promote information literacy? </w:t>
      </w:r>
    </w:p>
    <w:p w14:paraId="2A29AA3E" w14:textId="1B74CD7D" w:rsidR="0008597B" w:rsidRDefault="0008597B" w:rsidP="00044114">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Pr>
          <w:rFonts w:ascii="Adobe Caslon Pro" w:hAnsi="Adobe Caslon Pro" w:cs="Helvetica"/>
        </w:rPr>
        <w:t>What is the role of a librarian in curriculum design for an online course?</w:t>
      </w:r>
    </w:p>
    <w:p w14:paraId="7E269B88" w14:textId="77777777" w:rsidR="0008597B" w:rsidRPr="00952706" w:rsidRDefault="0008597B" w:rsidP="0008597B">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What kinds of online tutorials are effective? </w:t>
      </w:r>
    </w:p>
    <w:p w14:paraId="227C4B15" w14:textId="77777777" w:rsidR="00952706" w:rsidRPr="00044114" w:rsidRDefault="00952706" w:rsidP="00952706">
      <w:pPr>
        <w:widowControl w:val="0"/>
        <w:numPr>
          <w:ilvl w:val="1"/>
          <w:numId w:val="13"/>
        </w:numPr>
        <w:tabs>
          <w:tab w:val="left" w:pos="940"/>
          <w:tab w:val="left" w:pos="1440"/>
        </w:tabs>
        <w:autoSpaceDE w:val="0"/>
        <w:autoSpaceDN w:val="0"/>
        <w:adjustRightInd w:val="0"/>
        <w:ind w:hanging="810"/>
        <w:rPr>
          <w:rFonts w:ascii="Adobe Caslon Pro" w:hAnsi="Adobe Caslon Pro" w:cs="Helvetica"/>
        </w:rPr>
      </w:pPr>
      <w:r>
        <w:rPr>
          <w:rFonts w:ascii="Adobe Caslon Pro" w:hAnsi="Adobe Caslon Pro" w:cs="Helvetica"/>
        </w:rPr>
        <w:t>What new materials might you have to create?</w:t>
      </w:r>
    </w:p>
    <w:p w14:paraId="15591E40" w14:textId="77777777" w:rsidR="00952706" w:rsidRPr="00044114" w:rsidRDefault="00952706" w:rsidP="00952706">
      <w:pPr>
        <w:widowControl w:val="0"/>
        <w:tabs>
          <w:tab w:val="left" w:pos="940"/>
          <w:tab w:val="left" w:pos="1440"/>
        </w:tabs>
        <w:autoSpaceDE w:val="0"/>
        <w:autoSpaceDN w:val="0"/>
        <w:adjustRightInd w:val="0"/>
        <w:ind w:left="630"/>
        <w:rPr>
          <w:rFonts w:ascii="Adobe Caslon Pro" w:hAnsi="Adobe Caslon Pro" w:cs="Helvetica"/>
        </w:rPr>
      </w:pPr>
    </w:p>
    <w:p w14:paraId="16EA4AE1" w14:textId="77777777" w:rsidR="00044114" w:rsidRDefault="00044114" w:rsidP="00044114">
      <w:pPr>
        <w:widowControl w:val="0"/>
        <w:autoSpaceDE w:val="0"/>
        <w:autoSpaceDN w:val="0"/>
        <w:adjustRightInd w:val="0"/>
        <w:rPr>
          <w:rFonts w:ascii="Adobe Caslon Pro" w:hAnsi="Adobe Caslon Pro" w:cs="Helvetica"/>
        </w:rPr>
      </w:pPr>
    </w:p>
    <w:p w14:paraId="3547541C" w14:textId="0C90825E" w:rsidR="00044114" w:rsidRPr="00044114" w:rsidRDefault="00044114" w:rsidP="00044114">
      <w:pPr>
        <w:widowControl w:val="0"/>
        <w:autoSpaceDE w:val="0"/>
        <w:autoSpaceDN w:val="0"/>
        <w:adjustRightInd w:val="0"/>
        <w:rPr>
          <w:rFonts w:ascii="Adobe Caslon Pro" w:hAnsi="Adobe Caslon Pro" w:cs="Helvetica"/>
          <w:i/>
        </w:rPr>
      </w:pPr>
      <w:r w:rsidRPr="00044114">
        <w:rPr>
          <w:rFonts w:ascii="Adobe Caslon Pro" w:hAnsi="Adobe Caslon Pro" w:cs="Helvetica"/>
          <w:i/>
        </w:rPr>
        <w:t>You might also want to con</w:t>
      </w:r>
      <w:r w:rsidR="00C15513">
        <w:rPr>
          <w:rFonts w:ascii="Adobe Caslon Pro" w:hAnsi="Adobe Caslon Pro" w:cs="Helvetica"/>
          <w:i/>
        </w:rPr>
        <w:t>sider these, although they aren’t directly related to today’</w:t>
      </w:r>
      <w:bookmarkStart w:id="1" w:name="_GoBack"/>
      <w:bookmarkEnd w:id="1"/>
      <w:r w:rsidRPr="00044114">
        <w:rPr>
          <w:rFonts w:ascii="Adobe Caslon Pro" w:hAnsi="Adobe Caslon Pro" w:cs="Helvetica"/>
          <w:i/>
        </w:rPr>
        <w:t>s topic...</w:t>
      </w:r>
    </w:p>
    <w:p w14:paraId="0C727CC2" w14:textId="77777777" w:rsidR="00044114" w:rsidRPr="00044114" w:rsidRDefault="00044114" w:rsidP="00044114">
      <w:pPr>
        <w:widowControl w:val="0"/>
        <w:autoSpaceDE w:val="0"/>
        <w:autoSpaceDN w:val="0"/>
        <w:adjustRightInd w:val="0"/>
        <w:rPr>
          <w:rFonts w:ascii="Adobe Caslon Pro" w:hAnsi="Adobe Caslon Pro" w:cs="Helvetica"/>
        </w:rPr>
      </w:pPr>
    </w:p>
    <w:p w14:paraId="1F28D600" w14:textId="77777777" w:rsidR="00044114" w:rsidRPr="00044114" w:rsidRDefault="00044114" w:rsidP="00044114">
      <w:pPr>
        <w:widowControl w:val="0"/>
        <w:numPr>
          <w:ilvl w:val="0"/>
          <w:numId w:val="14"/>
        </w:numPr>
        <w:tabs>
          <w:tab w:val="left" w:pos="220"/>
          <w:tab w:val="left" w:pos="720"/>
        </w:tabs>
        <w:autoSpaceDE w:val="0"/>
        <w:autoSpaceDN w:val="0"/>
        <w:adjustRightInd w:val="0"/>
        <w:ind w:hanging="720"/>
        <w:rPr>
          <w:rFonts w:ascii="Adobe Caslon Pro" w:hAnsi="Adobe Caslon Pro" w:cs="Helvetica"/>
        </w:rPr>
      </w:pPr>
      <w:r w:rsidRPr="00044114">
        <w:rPr>
          <w:rFonts w:ascii="Adobe Caslon Pro" w:hAnsi="Adobe Caslon Pro" w:cs="Helvetica"/>
        </w:rPr>
        <w:t>Circulation</w:t>
      </w:r>
    </w:p>
    <w:p w14:paraId="7CA68853" w14:textId="77777777" w:rsidR="00044114" w:rsidRPr="00044114" w:rsidRDefault="00044114" w:rsidP="00044114">
      <w:pPr>
        <w:widowControl w:val="0"/>
        <w:numPr>
          <w:ilvl w:val="1"/>
          <w:numId w:val="14"/>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Will your library mail books to students who live outside your city/state/country?</w:t>
      </w:r>
    </w:p>
    <w:p w14:paraId="1BC8DF8D" w14:textId="77777777" w:rsidR="00044114" w:rsidRPr="00044114" w:rsidRDefault="00044114" w:rsidP="00044114">
      <w:pPr>
        <w:widowControl w:val="0"/>
        <w:numPr>
          <w:ilvl w:val="1"/>
          <w:numId w:val="14"/>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Will distance students be able to use ILL?</w:t>
      </w:r>
    </w:p>
    <w:p w14:paraId="0434E065" w14:textId="77777777" w:rsidR="00044114" w:rsidRPr="00044114" w:rsidRDefault="00044114" w:rsidP="00044114">
      <w:pPr>
        <w:widowControl w:val="0"/>
        <w:numPr>
          <w:ilvl w:val="0"/>
          <w:numId w:val="14"/>
        </w:numPr>
        <w:tabs>
          <w:tab w:val="left" w:pos="220"/>
          <w:tab w:val="left" w:pos="720"/>
        </w:tabs>
        <w:autoSpaceDE w:val="0"/>
        <w:autoSpaceDN w:val="0"/>
        <w:adjustRightInd w:val="0"/>
        <w:ind w:hanging="720"/>
        <w:rPr>
          <w:rFonts w:ascii="Adobe Caslon Pro" w:hAnsi="Adobe Caslon Pro" w:cs="Helvetica"/>
        </w:rPr>
      </w:pPr>
      <w:r w:rsidRPr="00044114">
        <w:rPr>
          <w:rFonts w:ascii="Adobe Caslon Pro" w:hAnsi="Adobe Caslon Pro" w:cs="Helvetica"/>
        </w:rPr>
        <w:t>Campus community</w:t>
      </w:r>
    </w:p>
    <w:p w14:paraId="7B9130B2" w14:textId="77777777" w:rsidR="00044114" w:rsidRPr="00044114" w:rsidRDefault="00044114" w:rsidP="00044114">
      <w:pPr>
        <w:widowControl w:val="0"/>
        <w:numPr>
          <w:ilvl w:val="1"/>
          <w:numId w:val="14"/>
        </w:numPr>
        <w:tabs>
          <w:tab w:val="left" w:pos="940"/>
          <w:tab w:val="left" w:pos="1440"/>
        </w:tabs>
        <w:autoSpaceDE w:val="0"/>
        <w:autoSpaceDN w:val="0"/>
        <w:adjustRightInd w:val="0"/>
        <w:ind w:hanging="810"/>
        <w:rPr>
          <w:rFonts w:ascii="Adobe Caslon Pro" w:hAnsi="Adobe Caslon Pro" w:cs="Helvetica"/>
        </w:rPr>
      </w:pPr>
      <w:r w:rsidRPr="00044114">
        <w:rPr>
          <w:rFonts w:ascii="Adobe Caslon Pro" w:hAnsi="Adobe Caslon Pro" w:cs="Helvetica"/>
        </w:rPr>
        <w:t>Who heads the online education office at your campus, if it exists? </w:t>
      </w:r>
    </w:p>
    <w:p w14:paraId="0C060ABD" w14:textId="4CF04CDD" w:rsidR="00044114" w:rsidRDefault="001D2CFF" w:rsidP="00044114">
      <w:pPr>
        <w:widowControl w:val="0"/>
        <w:numPr>
          <w:ilvl w:val="1"/>
          <w:numId w:val="14"/>
        </w:numPr>
        <w:tabs>
          <w:tab w:val="left" w:pos="940"/>
          <w:tab w:val="left" w:pos="1440"/>
        </w:tabs>
        <w:autoSpaceDE w:val="0"/>
        <w:autoSpaceDN w:val="0"/>
        <w:adjustRightInd w:val="0"/>
        <w:ind w:hanging="810"/>
        <w:rPr>
          <w:rFonts w:ascii="Adobe Caslon Pro" w:hAnsi="Adobe Caslon Pro" w:cs="Helvetica"/>
        </w:rPr>
      </w:pPr>
      <w:r>
        <w:rPr>
          <w:rFonts w:ascii="Adobe Caslon Pro" w:hAnsi="Adobe Caslon Pro" w:cs="Helvetica"/>
        </w:rPr>
        <w:t>What’</w:t>
      </w:r>
      <w:r w:rsidR="00044114" w:rsidRPr="00044114">
        <w:rPr>
          <w:rFonts w:ascii="Adobe Caslon Pro" w:hAnsi="Adobe Caslon Pro" w:cs="Helvetica"/>
        </w:rPr>
        <w:t>s your campus policy for online education? Does it mention the library? </w:t>
      </w:r>
    </w:p>
    <w:p w14:paraId="5B9F2A0E" w14:textId="041D3441" w:rsidR="001D2CFF" w:rsidRPr="00044114" w:rsidRDefault="001D2CFF" w:rsidP="00044114">
      <w:pPr>
        <w:widowControl w:val="0"/>
        <w:numPr>
          <w:ilvl w:val="1"/>
          <w:numId w:val="14"/>
        </w:numPr>
        <w:tabs>
          <w:tab w:val="left" w:pos="940"/>
          <w:tab w:val="left" w:pos="1440"/>
        </w:tabs>
        <w:autoSpaceDE w:val="0"/>
        <w:autoSpaceDN w:val="0"/>
        <w:adjustRightInd w:val="0"/>
        <w:ind w:hanging="810"/>
        <w:rPr>
          <w:rFonts w:ascii="Adobe Caslon Pro" w:hAnsi="Adobe Caslon Pro" w:cs="Helvetica"/>
        </w:rPr>
      </w:pPr>
      <w:r>
        <w:rPr>
          <w:rFonts w:ascii="Adobe Caslon Pro" w:hAnsi="Adobe Caslon Pro" w:cs="Helvetica"/>
        </w:rPr>
        <w:t>What additional support is the library getting from the online programs?</w:t>
      </w:r>
    </w:p>
    <w:p w14:paraId="5ED6A1B1" w14:textId="77777777" w:rsidR="00044114" w:rsidRDefault="00044114">
      <w:pPr>
        <w:rPr>
          <w:rFonts w:ascii="Adobe Caslon Pro" w:hAnsi="Adobe Caslon Pro"/>
        </w:rPr>
      </w:pPr>
    </w:p>
    <w:p w14:paraId="6371E1B0" w14:textId="77777777" w:rsidR="0008597B" w:rsidRPr="00344F7D" w:rsidRDefault="0008597B">
      <w:pPr>
        <w:rPr>
          <w:rFonts w:ascii="Adobe Caslon Pro" w:hAnsi="Adobe Caslon Pro"/>
        </w:rPr>
      </w:pPr>
    </w:p>
    <w:p w14:paraId="5BF5D4C2" w14:textId="77777777" w:rsidR="00044114" w:rsidRPr="00344F7D" w:rsidRDefault="00044114">
      <w:pPr>
        <w:rPr>
          <w:rFonts w:ascii="Adobe Caslon Pro" w:hAnsi="Adobe Caslon Pro"/>
        </w:rPr>
      </w:pPr>
    </w:p>
    <w:p w14:paraId="00EFEAED" w14:textId="6D2924F4" w:rsidR="00694D92" w:rsidRPr="00044114" w:rsidRDefault="0008597B">
      <w:pPr>
        <w:rPr>
          <w:rFonts w:ascii="Adobe Caslon Pro" w:hAnsi="Adobe Caslon Pro"/>
          <w:i/>
          <w:sz w:val="32"/>
          <w:szCs w:val="32"/>
        </w:rPr>
      </w:pPr>
      <w:r>
        <w:rPr>
          <w:rFonts w:ascii="Adobe Caslon Pro" w:hAnsi="Adobe Caslon Pro"/>
          <w:i/>
          <w:sz w:val="32"/>
          <w:szCs w:val="32"/>
        </w:rPr>
        <w:t>Continue the discussion</w:t>
      </w:r>
    </w:p>
    <w:p w14:paraId="0F142E6A" w14:textId="77777777" w:rsidR="00044114" w:rsidRDefault="00044114">
      <w:pPr>
        <w:rPr>
          <w:rFonts w:ascii="Adobe Caslon Pro" w:hAnsi="Adobe Caslon Pro"/>
        </w:rPr>
      </w:pPr>
    </w:p>
    <w:p w14:paraId="3FE8B216" w14:textId="77777777" w:rsidR="00044114" w:rsidRDefault="00044114" w:rsidP="00044114">
      <w:pPr>
        <w:pStyle w:val="ListParagraph"/>
        <w:numPr>
          <w:ilvl w:val="0"/>
          <w:numId w:val="15"/>
        </w:numPr>
        <w:rPr>
          <w:rFonts w:ascii="Adobe Caslon Pro" w:hAnsi="Adobe Caslon Pro"/>
        </w:rPr>
      </w:pPr>
      <w:r w:rsidRPr="00044114">
        <w:rPr>
          <w:rFonts w:ascii="Adobe Caslon Pro" w:hAnsi="Adobe Caslon Pro"/>
        </w:rPr>
        <w:t xml:space="preserve">ACRL/NY Distance Learning SIG </w:t>
      </w:r>
      <w:r w:rsidRPr="0027519A">
        <w:rPr>
          <w:rFonts w:ascii="Adobe Caslon Pro" w:hAnsi="Adobe Caslon Pro"/>
          <w:u w:val="single"/>
        </w:rPr>
        <w:t>acrlny.org/discussion-groups/distance-learning-group</w:t>
      </w:r>
    </w:p>
    <w:p w14:paraId="2595081A" w14:textId="77777777" w:rsidR="0008597B" w:rsidRPr="0008597B" w:rsidRDefault="0027519A" w:rsidP="008F7DA9">
      <w:pPr>
        <w:pStyle w:val="ListParagraph"/>
        <w:numPr>
          <w:ilvl w:val="0"/>
          <w:numId w:val="15"/>
        </w:numPr>
        <w:rPr>
          <w:rFonts w:ascii="Adobe Caslon Pro" w:hAnsi="Adobe Caslon Pro"/>
        </w:rPr>
      </w:pPr>
      <w:r>
        <w:rPr>
          <w:rFonts w:ascii="Adobe Caslon Pro" w:hAnsi="Adobe Caslon Pro"/>
        </w:rPr>
        <w:t xml:space="preserve">METRO Distance Education SIG </w:t>
      </w:r>
      <w:r w:rsidRPr="0027519A">
        <w:rPr>
          <w:rFonts w:ascii="Adobe Caslon Pro" w:hAnsi="Adobe Caslon Pro"/>
          <w:u w:val="single"/>
        </w:rPr>
        <w:t>libguides.metro.org/desig</w:t>
      </w:r>
    </w:p>
    <w:p w14:paraId="0718B39A" w14:textId="17D33FD8" w:rsidR="008F7DA9" w:rsidRPr="0008597B" w:rsidRDefault="008F7DA9" w:rsidP="008F7DA9">
      <w:pPr>
        <w:pStyle w:val="ListParagraph"/>
        <w:numPr>
          <w:ilvl w:val="0"/>
          <w:numId w:val="15"/>
        </w:numPr>
        <w:rPr>
          <w:rFonts w:ascii="Adobe Caslon Pro" w:hAnsi="Adobe Caslon Pro"/>
        </w:rPr>
      </w:pPr>
      <w:r w:rsidRPr="0008597B">
        <w:rPr>
          <w:rFonts w:ascii="Adobe Caslon Pro" w:hAnsi="Adobe Caslon Pro"/>
        </w:rPr>
        <w:t>#dls16 —</w:t>
      </w:r>
      <w:r w:rsidR="0008597B">
        <w:rPr>
          <w:rFonts w:ascii="Adobe Caslon Pro" w:hAnsi="Adobe Caslon Pro"/>
        </w:rPr>
        <w:t xml:space="preserve"> </w:t>
      </w:r>
      <w:r w:rsidRPr="0008597B">
        <w:rPr>
          <w:rFonts w:ascii="Adobe Caslon Pro" w:hAnsi="Adobe Caslon Pro"/>
        </w:rPr>
        <w:t xml:space="preserve">today! Distance Library Services Conference </w:t>
      </w:r>
      <w:r w:rsidRPr="0008597B">
        <w:rPr>
          <w:rFonts w:ascii="Adobe Caslon Pro" w:hAnsi="Adobe Caslon Pro"/>
          <w:u w:val="single"/>
        </w:rPr>
        <w:t>libguides.cmich.edu/dls2014</w:t>
      </w:r>
      <w:r w:rsidRPr="0008597B">
        <w:rPr>
          <w:rFonts w:ascii="Adobe Caslon Pro" w:hAnsi="Adobe Caslon Pro"/>
        </w:rPr>
        <w:t xml:space="preserve"> (next in 2016)</w:t>
      </w:r>
    </w:p>
    <w:p w14:paraId="22EC1606" w14:textId="77777777" w:rsidR="0008597B" w:rsidRDefault="0008597B" w:rsidP="0008597B">
      <w:pPr>
        <w:rPr>
          <w:rFonts w:ascii="Adobe Caslon Pro" w:hAnsi="Adobe Caslon Pro"/>
        </w:rPr>
      </w:pPr>
    </w:p>
    <w:p w14:paraId="5B0EE583" w14:textId="77777777" w:rsidR="0008597B" w:rsidRDefault="0008597B" w:rsidP="0008597B">
      <w:pPr>
        <w:rPr>
          <w:rFonts w:ascii="Adobe Caslon Pro" w:hAnsi="Adobe Caslon Pro"/>
          <w:color w:val="7F7F7F" w:themeColor="text1" w:themeTint="80"/>
        </w:rPr>
      </w:pPr>
    </w:p>
    <w:p w14:paraId="6587C3BB" w14:textId="77777777" w:rsidR="0008597B" w:rsidRDefault="0008597B" w:rsidP="0008597B">
      <w:pPr>
        <w:rPr>
          <w:rFonts w:ascii="Adobe Caslon Pro" w:hAnsi="Adobe Caslon Pro"/>
          <w:color w:val="7F7F7F" w:themeColor="text1" w:themeTint="80"/>
        </w:rPr>
      </w:pPr>
    </w:p>
    <w:p w14:paraId="58ADCEC6" w14:textId="3D03EFAF" w:rsidR="0008597B" w:rsidRPr="0008597B" w:rsidRDefault="0008597B" w:rsidP="0008597B">
      <w:pPr>
        <w:rPr>
          <w:rFonts w:ascii="Adobe Caslon Pro" w:hAnsi="Adobe Caslon Pro"/>
          <w:color w:val="7F7F7F" w:themeColor="text1" w:themeTint="80"/>
        </w:rPr>
      </w:pPr>
      <w:r w:rsidRPr="0008597B">
        <w:rPr>
          <w:rFonts w:ascii="Adobe Caslon Pro" w:hAnsi="Adobe Caslon Pro"/>
          <w:color w:val="7F7F7F" w:themeColor="text1" w:themeTint="80"/>
        </w:rPr>
        <w:t>Session leader: Robin Camille Davis • robdavis@jjay.cuny.edu • @robincamille</w:t>
      </w:r>
    </w:p>
    <w:sectPr w:rsidR="0008597B" w:rsidRPr="0008597B" w:rsidSect="00344F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Hoefler Text Ornaments">
    <w:panose1 w:val="00000000000000000000"/>
    <w:charset w:val="02"/>
    <w:family w:val="auto"/>
    <w:pitch w:val="variable"/>
    <w:sig w:usb0="00000000" w:usb1="10000000" w:usb2="00000000" w:usb3="00000000" w:csb0="8003006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E7080"/>
    <w:multiLevelType w:val="multilevel"/>
    <w:tmpl w:val="487A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01A70"/>
    <w:multiLevelType w:val="multilevel"/>
    <w:tmpl w:val="D6E8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AB57EA"/>
    <w:multiLevelType w:val="multilevel"/>
    <w:tmpl w:val="D424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9E21FC"/>
    <w:multiLevelType w:val="hybridMultilevel"/>
    <w:tmpl w:val="FB7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8131B"/>
    <w:multiLevelType w:val="multilevel"/>
    <w:tmpl w:val="607C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600153"/>
    <w:multiLevelType w:val="hybridMultilevel"/>
    <w:tmpl w:val="125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373C5"/>
    <w:multiLevelType w:val="multilevel"/>
    <w:tmpl w:val="28A2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3668AA"/>
    <w:multiLevelType w:val="multilevel"/>
    <w:tmpl w:val="2FDE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A45A85"/>
    <w:multiLevelType w:val="multilevel"/>
    <w:tmpl w:val="F18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2F569A"/>
    <w:multiLevelType w:val="hybridMultilevel"/>
    <w:tmpl w:val="2C54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F4A7B"/>
    <w:multiLevelType w:val="multilevel"/>
    <w:tmpl w:val="3B4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D262BD"/>
    <w:multiLevelType w:val="multilevel"/>
    <w:tmpl w:val="7E6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2F112A"/>
    <w:multiLevelType w:val="multilevel"/>
    <w:tmpl w:val="773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373092"/>
    <w:multiLevelType w:val="multilevel"/>
    <w:tmpl w:val="034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CF48C7"/>
    <w:multiLevelType w:val="multilevel"/>
    <w:tmpl w:val="8DD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8"/>
  </w:num>
  <w:num w:numId="4">
    <w:abstractNumId w:val="10"/>
  </w:num>
  <w:num w:numId="5">
    <w:abstractNumId w:val="16"/>
  </w:num>
  <w:num w:numId="6">
    <w:abstractNumId w:val="2"/>
  </w:num>
  <w:num w:numId="7">
    <w:abstractNumId w:val="14"/>
  </w:num>
  <w:num w:numId="8">
    <w:abstractNumId w:val="9"/>
  </w:num>
  <w:num w:numId="9">
    <w:abstractNumId w:val="6"/>
  </w:num>
  <w:num w:numId="10">
    <w:abstractNumId w:val="4"/>
  </w:num>
  <w:num w:numId="11">
    <w:abstractNumId w:val="12"/>
  </w:num>
  <w:num w:numId="12">
    <w:abstractNumId w:val="3"/>
  </w:num>
  <w:num w:numId="13">
    <w:abstractNumId w:val="0"/>
  </w:num>
  <w:num w:numId="14">
    <w:abstractNumId w:val="1"/>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2"/>
    <w:rsid w:val="00044114"/>
    <w:rsid w:val="0008597B"/>
    <w:rsid w:val="001D2CFF"/>
    <w:rsid w:val="0027519A"/>
    <w:rsid w:val="00344F7D"/>
    <w:rsid w:val="00531C77"/>
    <w:rsid w:val="00694D92"/>
    <w:rsid w:val="00862533"/>
    <w:rsid w:val="008D3DF0"/>
    <w:rsid w:val="008F7DA9"/>
    <w:rsid w:val="00952706"/>
    <w:rsid w:val="009E1F74"/>
    <w:rsid w:val="00B676E2"/>
    <w:rsid w:val="00BF68A0"/>
    <w:rsid w:val="00C15513"/>
    <w:rsid w:val="00C22851"/>
    <w:rsid w:val="00D6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8C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76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76E2"/>
    <w:rPr>
      <w:rFonts w:ascii="Times" w:hAnsi="Times"/>
      <w:b/>
      <w:bCs/>
      <w:sz w:val="27"/>
      <w:szCs w:val="27"/>
    </w:rPr>
  </w:style>
  <w:style w:type="paragraph" w:styleId="NormalWeb">
    <w:name w:val="Normal (Web)"/>
    <w:basedOn w:val="Normal"/>
    <w:uiPriority w:val="99"/>
    <w:semiHidden/>
    <w:unhideWhenUsed/>
    <w:rsid w:val="00B676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76E2"/>
    <w:rPr>
      <w:b/>
      <w:bCs/>
    </w:rPr>
  </w:style>
  <w:style w:type="character" w:customStyle="1" w:styleId="apple-converted-space">
    <w:name w:val="apple-converted-space"/>
    <w:basedOn w:val="DefaultParagraphFont"/>
    <w:rsid w:val="00B676E2"/>
  </w:style>
  <w:style w:type="character" w:styleId="Emphasis">
    <w:name w:val="Emphasis"/>
    <w:basedOn w:val="DefaultParagraphFont"/>
    <w:uiPriority w:val="20"/>
    <w:qFormat/>
    <w:rsid w:val="00B676E2"/>
    <w:rPr>
      <w:i/>
      <w:iCs/>
    </w:rPr>
  </w:style>
  <w:style w:type="character" w:styleId="Hyperlink">
    <w:name w:val="Hyperlink"/>
    <w:basedOn w:val="DefaultParagraphFont"/>
    <w:uiPriority w:val="99"/>
    <w:unhideWhenUsed/>
    <w:rsid w:val="00D60E42"/>
    <w:rPr>
      <w:color w:val="0000FF" w:themeColor="hyperlink"/>
      <w:u w:val="single"/>
    </w:rPr>
  </w:style>
  <w:style w:type="paragraph" w:styleId="ListParagraph">
    <w:name w:val="List Paragraph"/>
    <w:basedOn w:val="Normal"/>
    <w:uiPriority w:val="34"/>
    <w:qFormat/>
    <w:rsid w:val="000441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76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76E2"/>
    <w:rPr>
      <w:rFonts w:ascii="Times" w:hAnsi="Times"/>
      <w:b/>
      <w:bCs/>
      <w:sz w:val="27"/>
      <w:szCs w:val="27"/>
    </w:rPr>
  </w:style>
  <w:style w:type="paragraph" w:styleId="NormalWeb">
    <w:name w:val="Normal (Web)"/>
    <w:basedOn w:val="Normal"/>
    <w:uiPriority w:val="99"/>
    <w:semiHidden/>
    <w:unhideWhenUsed/>
    <w:rsid w:val="00B676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76E2"/>
    <w:rPr>
      <w:b/>
      <w:bCs/>
    </w:rPr>
  </w:style>
  <w:style w:type="character" w:customStyle="1" w:styleId="apple-converted-space">
    <w:name w:val="apple-converted-space"/>
    <w:basedOn w:val="DefaultParagraphFont"/>
    <w:rsid w:val="00B676E2"/>
  </w:style>
  <w:style w:type="character" w:styleId="Emphasis">
    <w:name w:val="Emphasis"/>
    <w:basedOn w:val="DefaultParagraphFont"/>
    <w:uiPriority w:val="20"/>
    <w:qFormat/>
    <w:rsid w:val="00B676E2"/>
    <w:rPr>
      <w:i/>
      <w:iCs/>
    </w:rPr>
  </w:style>
  <w:style w:type="character" w:styleId="Hyperlink">
    <w:name w:val="Hyperlink"/>
    <w:basedOn w:val="DefaultParagraphFont"/>
    <w:uiPriority w:val="99"/>
    <w:unhideWhenUsed/>
    <w:rsid w:val="00D60E42"/>
    <w:rPr>
      <w:color w:val="0000FF" w:themeColor="hyperlink"/>
      <w:u w:val="single"/>
    </w:rPr>
  </w:style>
  <w:style w:type="paragraph" w:styleId="ListParagraph">
    <w:name w:val="List Paragraph"/>
    <w:basedOn w:val="Normal"/>
    <w:uiPriority w:val="34"/>
    <w:qFormat/>
    <w:rsid w:val="0004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1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744</Words>
  <Characters>4245</Characters>
  <Application>Microsoft Macintosh Word</Application>
  <DocSecurity>0</DocSecurity>
  <Lines>35</Lines>
  <Paragraphs>9</Paragraphs>
  <ScaleCrop>false</ScaleCrop>
  <Company>John Jay College of Criminal Justice</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Davis</dc:creator>
  <cp:keywords/>
  <dc:description/>
  <cp:lastModifiedBy>Robin Davis</cp:lastModifiedBy>
  <cp:revision>4</cp:revision>
  <cp:lastPrinted>2014-04-24T22:13:00Z</cp:lastPrinted>
  <dcterms:created xsi:type="dcterms:W3CDTF">2014-04-24T19:44:00Z</dcterms:created>
  <dcterms:modified xsi:type="dcterms:W3CDTF">2014-04-24T22:19:00Z</dcterms:modified>
</cp:coreProperties>
</file>